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547C" w14:textId="43C965D4" w:rsidR="00085509" w:rsidRDefault="00085509" w:rsidP="00085509">
      <w:pPr>
        <w:spacing w:after="0"/>
        <w:ind w:left="1440" w:firstLine="720"/>
        <w:jc w:val="both"/>
        <w:rPr>
          <w:rFonts w:ascii="Arial" w:hAnsi="Arial"/>
          <w:b/>
          <w:u w:val="single"/>
        </w:rPr>
      </w:pPr>
    </w:p>
    <w:p w14:paraId="20545F24" w14:textId="5FD2BBD9" w:rsidR="00085509" w:rsidRDefault="00085509" w:rsidP="00085509">
      <w:pPr>
        <w:spacing w:after="0"/>
        <w:ind w:left="1440" w:firstLine="720"/>
        <w:jc w:val="both"/>
        <w:rPr>
          <w:rFonts w:ascii="Arial" w:hAnsi="Arial"/>
          <w:b/>
          <w:u w:val="single"/>
        </w:rPr>
      </w:pPr>
    </w:p>
    <w:p w14:paraId="327D5085" w14:textId="567D1BAF" w:rsidR="00085509" w:rsidRDefault="00085509" w:rsidP="00085509">
      <w:pPr>
        <w:spacing w:after="0"/>
        <w:jc w:val="both"/>
        <w:rPr>
          <w:rFonts w:ascii="Arial" w:hAnsi="Arial"/>
          <w:b/>
          <w:u w:val="single"/>
        </w:rPr>
      </w:pPr>
      <w:r>
        <w:rPr>
          <w:noProof/>
        </w:rPr>
        <w:drawing>
          <wp:inline distT="0" distB="0" distL="0" distR="0" wp14:anchorId="189BE3EA" wp14:editId="3D4F5B1C">
            <wp:extent cx="5591908" cy="2400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602037" cy="2405284"/>
                    </a:xfrm>
                    <a:prstGeom prst="rect">
                      <a:avLst/>
                    </a:prstGeom>
                  </pic:spPr>
                </pic:pic>
              </a:graphicData>
            </a:graphic>
          </wp:inline>
        </w:drawing>
      </w:r>
    </w:p>
    <w:p w14:paraId="2A563CC4" w14:textId="496607AA" w:rsidR="00085509" w:rsidRDefault="00085509" w:rsidP="00085509">
      <w:pPr>
        <w:spacing w:after="0"/>
        <w:ind w:left="1440" w:firstLine="720"/>
        <w:jc w:val="both"/>
        <w:rPr>
          <w:rFonts w:ascii="Arial" w:hAnsi="Arial"/>
          <w:b/>
          <w:u w:val="single"/>
        </w:rPr>
      </w:pPr>
    </w:p>
    <w:p w14:paraId="6A40E424" w14:textId="77777777" w:rsidR="00085509" w:rsidRDefault="00085509" w:rsidP="00085509">
      <w:pPr>
        <w:spacing w:after="0"/>
        <w:ind w:left="1440" w:firstLine="720"/>
        <w:jc w:val="both"/>
        <w:rPr>
          <w:rFonts w:ascii="Arial" w:hAnsi="Arial"/>
          <w:b/>
          <w:u w:val="single"/>
        </w:rPr>
      </w:pPr>
    </w:p>
    <w:p w14:paraId="21C52BA6" w14:textId="39B89015" w:rsidR="00085509" w:rsidRDefault="00085509" w:rsidP="00085509">
      <w:pPr>
        <w:spacing w:after="0"/>
        <w:ind w:left="2880" w:firstLine="720"/>
        <w:jc w:val="both"/>
        <w:rPr>
          <w:rFonts w:ascii="Arial" w:hAnsi="Arial"/>
          <w:b/>
          <w:u w:val="single"/>
        </w:rPr>
      </w:pPr>
      <w:r>
        <w:rPr>
          <w:rFonts w:ascii="Arial" w:hAnsi="Arial"/>
          <w:b/>
          <w:u w:val="single"/>
        </w:rPr>
        <w:t>COMPANY LAW</w:t>
      </w:r>
    </w:p>
    <w:p w14:paraId="2428534D" w14:textId="77777777" w:rsidR="00085509" w:rsidRPr="004A74C2" w:rsidRDefault="00085509" w:rsidP="00085509">
      <w:pPr>
        <w:spacing w:after="0"/>
        <w:jc w:val="both"/>
        <w:rPr>
          <w:rFonts w:ascii="Arial" w:hAnsi="Arial"/>
          <w:b/>
          <w:u w:val="single"/>
        </w:rPr>
      </w:pPr>
    </w:p>
    <w:p w14:paraId="3A107C34" w14:textId="77777777" w:rsidR="00085509" w:rsidRPr="004A74C2" w:rsidRDefault="00085509" w:rsidP="00085509">
      <w:pPr>
        <w:spacing w:after="0" w:line="240" w:lineRule="auto"/>
        <w:jc w:val="both"/>
        <w:rPr>
          <w:rFonts w:ascii="Arial" w:eastAsia="Calibri" w:hAnsi="Arial"/>
          <w:b/>
          <w:u w:val="single"/>
          <w:lang w:val="en-US"/>
        </w:rPr>
      </w:pPr>
      <w:r w:rsidRPr="004A74C2">
        <w:rPr>
          <w:rFonts w:ascii="Arial" w:eastAsia="Calibri" w:hAnsi="Arial"/>
          <w:b/>
          <w:u w:val="single"/>
          <w:lang w:val="en-US"/>
        </w:rPr>
        <w:t>Types of companies registrable in Zimbabwe</w:t>
      </w:r>
    </w:p>
    <w:p w14:paraId="25799874" w14:textId="77777777" w:rsidR="00085509" w:rsidRPr="004A74C2" w:rsidRDefault="00085509" w:rsidP="00085509">
      <w:pPr>
        <w:spacing w:after="0" w:line="240" w:lineRule="auto"/>
        <w:jc w:val="both"/>
        <w:rPr>
          <w:rFonts w:ascii="Arial" w:eastAsia="Calibri" w:hAnsi="Arial"/>
          <w:b/>
          <w:u w:val="single"/>
          <w:lang w:val="en-US"/>
        </w:rPr>
      </w:pPr>
    </w:p>
    <w:p w14:paraId="44DA7182" w14:textId="77777777" w:rsidR="00085509" w:rsidRPr="004A74C2" w:rsidRDefault="00085509" w:rsidP="00085509">
      <w:pPr>
        <w:pStyle w:val="ListParagraph"/>
        <w:numPr>
          <w:ilvl w:val="0"/>
          <w:numId w:val="5"/>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 xml:space="preserve">Private Limited Company - </w:t>
      </w:r>
      <w:r w:rsidRPr="004A74C2">
        <w:rPr>
          <w:rFonts w:ascii="Arial" w:hAnsi="Arial" w:cs="Arial"/>
          <w:color w:val="676767"/>
          <w:sz w:val="24"/>
          <w:szCs w:val="24"/>
          <w:shd w:val="clear" w:color="auto" w:fill="FFFFFF"/>
        </w:rPr>
        <w:t>A private limited company is the most common company structure for entrepreneurs in Zimbabwe. It is preferred the most because it offers limited liability to the shareholders. This means that if a company incurs any debt, the shareholders are not liable to pay off the debts using their personal assets.</w:t>
      </w:r>
    </w:p>
    <w:p w14:paraId="0B415A20" w14:textId="77777777" w:rsidR="00085509" w:rsidRPr="004A74C2" w:rsidRDefault="00085509" w:rsidP="00085509">
      <w:pPr>
        <w:pStyle w:val="ListParagraph"/>
        <w:spacing w:after="0" w:line="240" w:lineRule="auto"/>
        <w:ind w:left="780"/>
        <w:jc w:val="both"/>
        <w:rPr>
          <w:rFonts w:ascii="Arial" w:eastAsia="Calibri" w:hAnsi="Arial" w:cs="Arial"/>
          <w:bCs/>
          <w:sz w:val="24"/>
          <w:szCs w:val="24"/>
          <w:lang w:val="en-US"/>
        </w:rPr>
      </w:pPr>
    </w:p>
    <w:p w14:paraId="652B458E" w14:textId="77777777" w:rsidR="00085509" w:rsidRPr="004A74C2" w:rsidRDefault="00085509" w:rsidP="00085509">
      <w:pPr>
        <w:pStyle w:val="ListParagraph"/>
        <w:numPr>
          <w:ilvl w:val="0"/>
          <w:numId w:val="5"/>
        </w:numPr>
        <w:shd w:val="clear" w:color="auto" w:fill="FFFFFF"/>
        <w:spacing w:after="0" w:line="240" w:lineRule="atLeast"/>
        <w:jc w:val="both"/>
        <w:textAlignment w:val="baseline"/>
        <w:outlineLvl w:val="2"/>
        <w:rPr>
          <w:rFonts w:ascii="Arial" w:eastAsia="Times New Roman" w:hAnsi="Arial" w:cs="Arial"/>
          <w:color w:val="676767"/>
          <w:sz w:val="24"/>
          <w:szCs w:val="24"/>
          <w:lang w:eastAsia="en-ZW"/>
        </w:rPr>
      </w:pPr>
      <w:r w:rsidRPr="004A74C2">
        <w:rPr>
          <w:rFonts w:ascii="Arial" w:eastAsia="Times New Roman" w:hAnsi="Arial" w:cs="Arial"/>
          <w:color w:val="676767"/>
          <w:sz w:val="24"/>
          <w:szCs w:val="24"/>
          <w:lang w:eastAsia="en-ZW"/>
        </w:rPr>
        <w:t>Private Business Corporation - A Private Business Company (PBC) has limited liability the same as a Private Limited Company. It can sue and be sued and is accepted by most institutions and organisations however it is not as popular as a Private Limited Company.</w:t>
      </w:r>
    </w:p>
    <w:p w14:paraId="481840D0" w14:textId="77777777" w:rsidR="00085509" w:rsidRPr="004A74C2" w:rsidRDefault="00085509" w:rsidP="00085509">
      <w:pPr>
        <w:pStyle w:val="ListParagraph"/>
        <w:shd w:val="clear" w:color="auto" w:fill="FFFFFF"/>
        <w:spacing w:after="0" w:line="240" w:lineRule="auto"/>
        <w:ind w:left="780"/>
        <w:jc w:val="both"/>
        <w:textAlignment w:val="baseline"/>
        <w:rPr>
          <w:rFonts w:ascii="Arial" w:eastAsia="Times New Roman" w:hAnsi="Arial" w:cs="Arial"/>
          <w:color w:val="676767"/>
          <w:sz w:val="24"/>
          <w:szCs w:val="24"/>
          <w:lang w:eastAsia="en-ZW"/>
        </w:rPr>
      </w:pPr>
    </w:p>
    <w:p w14:paraId="657B3870" w14:textId="77777777" w:rsidR="00085509" w:rsidRPr="004A74C2" w:rsidRDefault="00085509" w:rsidP="00085509">
      <w:pPr>
        <w:pStyle w:val="ListParagraph"/>
        <w:shd w:val="clear" w:color="auto" w:fill="FFFFFF"/>
        <w:spacing w:after="0" w:line="240" w:lineRule="auto"/>
        <w:ind w:left="780"/>
        <w:jc w:val="both"/>
        <w:textAlignment w:val="baseline"/>
        <w:rPr>
          <w:rFonts w:ascii="Arial" w:eastAsia="Times New Roman" w:hAnsi="Arial" w:cs="Arial"/>
          <w:color w:val="676767"/>
          <w:sz w:val="24"/>
          <w:szCs w:val="24"/>
          <w:lang w:eastAsia="en-ZW"/>
        </w:rPr>
      </w:pPr>
      <w:r w:rsidRPr="004A74C2">
        <w:rPr>
          <w:rFonts w:ascii="Arial" w:eastAsia="Times New Roman" w:hAnsi="Arial" w:cs="Arial"/>
          <w:color w:val="676767"/>
          <w:sz w:val="24"/>
          <w:szCs w:val="24"/>
          <w:lang w:eastAsia="en-ZW"/>
        </w:rPr>
        <w:t>A PBC is liable for tax including income tax and value added tax (VAT) if it meets the minimum VAT threshold and can participate in government and private tenders just like a Private Limited Company.</w:t>
      </w:r>
    </w:p>
    <w:p w14:paraId="43310877" w14:textId="77777777" w:rsidR="00085509" w:rsidRPr="004A74C2" w:rsidRDefault="00085509" w:rsidP="00085509">
      <w:pPr>
        <w:pStyle w:val="ListParagraph"/>
        <w:shd w:val="clear" w:color="auto" w:fill="FFFFFF"/>
        <w:spacing w:after="0" w:line="240" w:lineRule="auto"/>
        <w:ind w:left="780"/>
        <w:jc w:val="both"/>
        <w:textAlignment w:val="baseline"/>
        <w:rPr>
          <w:rFonts w:ascii="Arial" w:eastAsia="Times New Roman" w:hAnsi="Arial" w:cs="Arial"/>
          <w:color w:val="676767"/>
          <w:sz w:val="24"/>
          <w:szCs w:val="24"/>
          <w:lang w:eastAsia="en-ZW"/>
        </w:rPr>
      </w:pPr>
    </w:p>
    <w:p w14:paraId="4B1E86A9" w14:textId="77777777" w:rsidR="00085509" w:rsidRPr="004A74C2" w:rsidRDefault="00085509" w:rsidP="00085509">
      <w:pPr>
        <w:pStyle w:val="ListParagraph"/>
        <w:numPr>
          <w:ilvl w:val="0"/>
          <w:numId w:val="5"/>
        </w:numPr>
        <w:shd w:val="clear" w:color="auto" w:fill="FFFFFF"/>
        <w:spacing w:after="0" w:line="240" w:lineRule="auto"/>
        <w:jc w:val="both"/>
        <w:textAlignment w:val="baseline"/>
        <w:rPr>
          <w:rFonts w:ascii="Arial" w:eastAsia="Times New Roman" w:hAnsi="Arial" w:cs="Arial"/>
          <w:color w:val="676767"/>
          <w:sz w:val="24"/>
          <w:szCs w:val="24"/>
          <w:lang w:eastAsia="en-ZW"/>
        </w:rPr>
      </w:pPr>
      <w:r w:rsidRPr="004A74C2">
        <w:rPr>
          <w:rFonts w:ascii="Arial" w:eastAsia="Times New Roman" w:hAnsi="Arial" w:cs="Arial"/>
          <w:color w:val="676767"/>
          <w:sz w:val="24"/>
          <w:szCs w:val="24"/>
          <w:lang w:eastAsia="en-ZW"/>
        </w:rPr>
        <w:t>Cooperative</w:t>
      </w:r>
    </w:p>
    <w:p w14:paraId="6D20DB88" w14:textId="77777777" w:rsidR="00085509" w:rsidRPr="004A74C2" w:rsidRDefault="00085509" w:rsidP="00085509">
      <w:pPr>
        <w:pStyle w:val="ListParagraph"/>
        <w:shd w:val="clear" w:color="auto" w:fill="FFFFFF"/>
        <w:spacing w:after="0" w:line="240" w:lineRule="auto"/>
        <w:ind w:left="780"/>
        <w:jc w:val="both"/>
        <w:textAlignment w:val="baseline"/>
        <w:rPr>
          <w:rFonts w:ascii="Arial" w:eastAsia="Times New Roman" w:hAnsi="Arial" w:cs="Arial"/>
          <w:color w:val="676767"/>
          <w:sz w:val="24"/>
          <w:szCs w:val="24"/>
          <w:lang w:eastAsia="en-ZW"/>
        </w:rPr>
      </w:pPr>
      <w:r w:rsidRPr="004A74C2">
        <w:rPr>
          <w:rFonts w:ascii="Arial" w:eastAsia="Times New Roman" w:hAnsi="Arial" w:cs="Arial"/>
          <w:color w:val="676767"/>
          <w:sz w:val="24"/>
          <w:szCs w:val="24"/>
          <w:lang w:eastAsia="en-ZW"/>
        </w:rPr>
        <w:t xml:space="preserve">This type of company is not always ideal for investment purposes given the high number of members that are required amongst other relevant factors. </w:t>
      </w:r>
    </w:p>
    <w:p w14:paraId="2092DDF4" w14:textId="77777777" w:rsidR="00085509" w:rsidRPr="004A74C2" w:rsidRDefault="00085509" w:rsidP="00085509">
      <w:pPr>
        <w:pStyle w:val="ListParagraph"/>
        <w:spacing w:after="0" w:line="240" w:lineRule="auto"/>
        <w:ind w:left="780"/>
        <w:jc w:val="both"/>
        <w:rPr>
          <w:rFonts w:ascii="Arial" w:eastAsia="Calibri" w:hAnsi="Arial" w:cs="Arial"/>
          <w:bCs/>
          <w:sz w:val="24"/>
          <w:szCs w:val="24"/>
          <w:lang w:val="en-US"/>
        </w:rPr>
      </w:pPr>
    </w:p>
    <w:p w14:paraId="3D59A2B2" w14:textId="77777777" w:rsidR="00085509" w:rsidRPr="004A74C2" w:rsidRDefault="00085509" w:rsidP="00085509">
      <w:pPr>
        <w:spacing w:after="0" w:line="240" w:lineRule="auto"/>
        <w:jc w:val="both"/>
        <w:rPr>
          <w:rFonts w:ascii="Arial" w:eastAsia="Calibri" w:hAnsi="Arial"/>
          <w:b/>
          <w:u w:val="single"/>
          <w:lang w:val="en-US"/>
        </w:rPr>
      </w:pPr>
      <w:r w:rsidRPr="004A74C2">
        <w:rPr>
          <w:rFonts w:ascii="Arial" w:eastAsia="Calibri" w:hAnsi="Arial"/>
          <w:b/>
          <w:u w:val="single"/>
          <w:lang w:val="en-US"/>
        </w:rPr>
        <w:t>Can you acquire an already registered Company?</w:t>
      </w:r>
    </w:p>
    <w:p w14:paraId="32C36453" w14:textId="77777777" w:rsidR="00085509" w:rsidRPr="004A74C2" w:rsidRDefault="00085509" w:rsidP="00085509">
      <w:pPr>
        <w:spacing w:after="0" w:line="240" w:lineRule="auto"/>
        <w:jc w:val="both"/>
        <w:rPr>
          <w:rFonts w:ascii="Arial" w:eastAsia="Calibri" w:hAnsi="Arial"/>
          <w:b/>
          <w:u w:val="single"/>
          <w:lang w:val="en-US"/>
        </w:rPr>
      </w:pPr>
    </w:p>
    <w:p w14:paraId="0CEC9FF1" w14:textId="77777777" w:rsidR="00085509" w:rsidRPr="004A74C2" w:rsidRDefault="00085509" w:rsidP="00085509">
      <w:pPr>
        <w:pStyle w:val="ListParagraph"/>
        <w:spacing w:after="0" w:line="240" w:lineRule="auto"/>
        <w:ind w:left="780"/>
        <w:jc w:val="both"/>
        <w:rPr>
          <w:rFonts w:ascii="Arial" w:eastAsia="Calibri" w:hAnsi="Arial" w:cs="Arial"/>
          <w:b/>
          <w:bCs/>
          <w:sz w:val="24"/>
          <w:szCs w:val="24"/>
          <w:u w:val="single"/>
          <w:lang w:val="en-US"/>
        </w:rPr>
      </w:pPr>
      <w:r w:rsidRPr="004A74C2">
        <w:rPr>
          <w:rFonts w:ascii="Arial" w:eastAsia="Calibri" w:hAnsi="Arial" w:cs="Arial"/>
          <w:b/>
          <w:bCs/>
          <w:sz w:val="24"/>
          <w:szCs w:val="24"/>
          <w:u w:val="single"/>
          <w:lang w:val="en-US"/>
        </w:rPr>
        <w:t xml:space="preserve">Shelf Companies </w:t>
      </w:r>
    </w:p>
    <w:p w14:paraId="6CC0A795" w14:textId="77777777" w:rsidR="00085509" w:rsidRPr="004A74C2" w:rsidRDefault="00085509" w:rsidP="00085509">
      <w:pPr>
        <w:pStyle w:val="ListParagraph"/>
        <w:spacing w:after="0" w:line="240" w:lineRule="auto"/>
        <w:ind w:left="780"/>
        <w:jc w:val="both"/>
        <w:rPr>
          <w:rFonts w:ascii="Arial" w:eastAsia="Calibri" w:hAnsi="Arial" w:cs="Arial"/>
          <w:bCs/>
          <w:sz w:val="24"/>
          <w:szCs w:val="24"/>
          <w:lang w:val="en-US"/>
        </w:rPr>
      </w:pPr>
    </w:p>
    <w:p w14:paraId="35E9E076" w14:textId="77777777" w:rsidR="00085509" w:rsidRPr="004A74C2" w:rsidRDefault="00085509" w:rsidP="00085509">
      <w:pPr>
        <w:pStyle w:val="ListParagraph"/>
        <w:numPr>
          <w:ilvl w:val="0"/>
          <w:numId w:val="5"/>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 xml:space="preserve">Yes, instead of going through the process for registering a company outlined below, an investor can simply purchase an already existing company. </w:t>
      </w:r>
    </w:p>
    <w:p w14:paraId="6854E6E8" w14:textId="77777777" w:rsidR="00085509" w:rsidRPr="004A74C2" w:rsidRDefault="00085509" w:rsidP="00085509">
      <w:pPr>
        <w:pStyle w:val="ListParagraph"/>
        <w:numPr>
          <w:ilvl w:val="0"/>
          <w:numId w:val="5"/>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 xml:space="preserve">One can acquire a company that has been registered already but is inactive (a Shelf Company). </w:t>
      </w:r>
    </w:p>
    <w:p w14:paraId="1C2B3C88" w14:textId="77777777" w:rsidR="00085509" w:rsidRPr="004A74C2" w:rsidRDefault="00085509" w:rsidP="00085509">
      <w:pPr>
        <w:pStyle w:val="ListParagraph"/>
        <w:numPr>
          <w:ilvl w:val="0"/>
          <w:numId w:val="5"/>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 xml:space="preserve">These companies are beneficial because there is no delay in the company becoming functional. Registration of a company from scratch can take </w:t>
      </w:r>
      <w:r>
        <w:rPr>
          <w:rFonts w:ascii="Arial" w:eastAsia="Calibri" w:hAnsi="Arial" w:cs="Arial"/>
          <w:bCs/>
          <w:sz w:val="24"/>
          <w:szCs w:val="24"/>
          <w:lang w:val="en-US"/>
        </w:rPr>
        <w:t>a week or more</w:t>
      </w:r>
    </w:p>
    <w:p w14:paraId="41BDF69D" w14:textId="77777777" w:rsidR="00085509" w:rsidRPr="004A74C2" w:rsidRDefault="00085509" w:rsidP="00085509">
      <w:pPr>
        <w:pStyle w:val="ListParagraph"/>
        <w:numPr>
          <w:ilvl w:val="0"/>
          <w:numId w:val="5"/>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There is need to change ownership details after acquiring it as well as the directors’ names.</w:t>
      </w:r>
    </w:p>
    <w:p w14:paraId="2FAAAA45" w14:textId="77777777" w:rsidR="00085509" w:rsidRPr="004A74C2" w:rsidRDefault="00085509" w:rsidP="00085509">
      <w:pPr>
        <w:pStyle w:val="ListParagraph"/>
        <w:spacing w:after="0" w:line="240" w:lineRule="auto"/>
        <w:ind w:left="780"/>
        <w:jc w:val="both"/>
        <w:rPr>
          <w:rFonts w:ascii="Arial" w:eastAsia="Calibri" w:hAnsi="Arial" w:cs="Arial"/>
          <w:bCs/>
          <w:sz w:val="24"/>
          <w:szCs w:val="24"/>
          <w:lang w:val="en-US"/>
        </w:rPr>
      </w:pPr>
    </w:p>
    <w:p w14:paraId="4152EC9D" w14:textId="77777777" w:rsidR="00085509" w:rsidRPr="004A74C2" w:rsidRDefault="00085509" w:rsidP="00085509">
      <w:pPr>
        <w:pStyle w:val="ListParagraph"/>
        <w:spacing w:after="0" w:line="240" w:lineRule="auto"/>
        <w:ind w:left="780"/>
        <w:jc w:val="both"/>
        <w:rPr>
          <w:rFonts w:ascii="Arial" w:eastAsia="Calibri" w:hAnsi="Arial" w:cs="Arial"/>
          <w:b/>
          <w:bCs/>
          <w:sz w:val="24"/>
          <w:szCs w:val="24"/>
          <w:u w:val="single"/>
          <w:lang w:val="en-US"/>
        </w:rPr>
      </w:pPr>
      <w:r w:rsidRPr="004A74C2">
        <w:rPr>
          <w:rFonts w:ascii="Arial" w:eastAsia="Calibri" w:hAnsi="Arial" w:cs="Arial"/>
          <w:b/>
          <w:bCs/>
          <w:sz w:val="24"/>
          <w:szCs w:val="24"/>
          <w:u w:val="single"/>
          <w:lang w:val="en-US"/>
        </w:rPr>
        <w:t xml:space="preserve">Purchasing a going concern </w:t>
      </w:r>
    </w:p>
    <w:p w14:paraId="254C0AD2" w14:textId="77777777" w:rsidR="00085509" w:rsidRPr="004A74C2" w:rsidRDefault="00085509" w:rsidP="00085509">
      <w:pPr>
        <w:pStyle w:val="ListParagraph"/>
        <w:spacing w:after="0" w:line="240" w:lineRule="auto"/>
        <w:ind w:left="780"/>
        <w:jc w:val="both"/>
        <w:rPr>
          <w:rFonts w:ascii="Arial" w:eastAsia="Calibri" w:hAnsi="Arial" w:cs="Arial"/>
          <w:b/>
          <w:bCs/>
          <w:sz w:val="24"/>
          <w:szCs w:val="24"/>
          <w:u w:val="single"/>
          <w:lang w:val="en-US"/>
        </w:rPr>
      </w:pPr>
    </w:p>
    <w:p w14:paraId="7147CE36" w14:textId="77777777" w:rsidR="00085509" w:rsidRPr="004A74C2" w:rsidRDefault="00085509" w:rsidP="00085509">
      <w:pPr>
        <w:pStyle w:val="ListParagraph"/>
        <w:numPr>
          <w:ilvl w:val="0"/>
          <w:numId w:val="5"/>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Investors can purchase already functioning companies. All they have to do is change shareholding details upon purchase of the company. This requires obtaining a share certificate. How this is done is detailed below.</w:t>
      </w:r>
    </w:p>
    <w:p w14:paraId="6ABEE919" w14:textId="77777777" w:rsidR="00085509" w:rsidRPr="004A74C2" w:rsidRDefault="00085509" w:rsidP="00085509">
      <w:pPr>
        <w:spacing w:after="0"/>
        <w:jc w:val="both"/>
        <w:rPr>
          <w:rFonts w:ascii="Arial" w:hAnsi="Arial"/>
        </w:rPr>
      </w:pPr>
    </w:p>
    <w:p w14:paraId="39014B1C" w14:textId="77777777" w:rsidR="00085509" w:rsidRPr="004A74C2" w:rsidRDefault="00085509" w:rsidP="00085509">
      <w:pPr>
        <w:spacing w:after="0"/>
        <w:jc w:val="both"/>
        <w:rPr>
          <w:rFonts w:ascii="Arial" w:hAnsi="Arial"/>
          <w:b/>
          <w:u w:val="single"/>
        </w:rPr>
      </w:pPr>
      <w:r w:rsidRPr="004A74C2">
        <w:rPr>
          <w:rFonts w:ascii="Arial" w:hAnsi="Arial"/>
          <w:b/>
          <w:u w:val="single"/>
        </w:rPr>
        <w:t>SHAREHOLDING</w:t>
      </w:r>
    </w:p>
    <w:p w14:paraId="01AB41A6" w14:textId="77777777" w:rsidR="00085509" w:rsidRPr="004A74C2" w:rsidRDefault="00085509" w:rsidP="00085509">
      <w:pPr>
        <w:spacing w:after="0"/>
        <w:jc w:val="both"/>
        <w:rPr>
          <w:rFonts w:ascii="Arial" w:hAnsi="Arial"/>
          <w:b/>
          <w:u w:val="single"/>
        </w:rPr>
      </w:pPr>
      <w:r w:rsidRPr="004A74C2">
        <w:rPr>
          <w:rFonts w:ascii="Arial" w:hAnsi="Arial"/>
          <w:b/>
          <w:u w:val="single"/>
        </w:rPr>
        <w:t xml:space="preserve">How to obtain shares in a company </w:t>
      </w:r>
    </w:p>
    <w:p w14:paraId="220233EE" w14:textId="77777777" w:rsidR="00085509" w:rsidRPr="004A74C2" w:rsidRDefault="00085509" w:rsidP="00085509">
      <w:pPr>
        <w:spacing w:after="0"/>
        <w:jc w:val="both"/>
        <w:rPr>
          <w:rFonts w:ascii="Arial" w:hAnsi="Arial"/>
        </w:rPr>
      </w:pPr>
    </w:p>
    <w:p w14:paraId="498EF4E6" w14:textId="77777777" w:rsidR="00085509" w:rsidRPr="004A74C2" w:rsidRDefault="00085509" w:rsidP="00085509">
      <w:pPr>
        <w:spacing w:after="0" w:line="240" w:lineRule="auto"/>
        <w:jc w:val="both"/>
        <w:rPr>
          <w:rFonts w:ascii="Arial" w:eastAsia="Calibri" w:hAnsi="Arial"/>
          <w:b/>
          <w:lang w:val="en-US"/>
        </w:rPr>
      </w:pPr>
      <w:r w:rsidRPr="004A74C2">
        <w:rPr>
          <w:rFonts w:ascii="Arial" w:eastAsia="Calibri" w:hAnsi="Arial"/>
          <w:b/>
          <w:lang w:val="en-US"/>
        </w:rPr>
        <w:t>Transfer of shares</w:t>
      </w:r>
    </w:p>
    <w:p w14:paraId="0C55F852" w14:textId="77777777" w:rsidR="00085509" w:rsidRPr="004A74C2" w:rsidRDefault="00085509" w:rsidP="00085509">
      <w:pPr>
        <w:spacing w:after="0" w:line="240" w:lineRule="auto"/>
        <w:jc w:val="both"/>
        <w:rPr>
          <w:rFonts w:ascii="Arial" w:eastAsia="Calibri" w:hAnsi="Arial"/>
          <w:bCs/>
          <w:lang w:val="en-US"/>
        </w:rPr>
      </w:pPr>
    </w:p>
    <w:p w14:paraId="59241051" w14:textId="77777777" w:rsidR="00085509" w:rsidRPr="004A74C2" w:rsidRDefault="00085509" w:rsidP="00085509">
      <w:pPr>
        <w:pStyle w:val="ListParagraph"/>
        <w:numPr>
          <w:ilvl w:val="0"/>
          <w:numId w:val="1"/>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An agreement to purchase shares is entered into between the seller and the investor. An instrument (document) of share transfer is then completed and delivered to the company for such shares to be transferred.</w:t>
      </w:r>
    </w:p>
    <w:p w14:paraId="5792EBE9" w14:textId="77777777" w:rsidR="00085509" w:rsidRDefault="00085509" w:rsidP="00085509">
      <w:pPr>
        <w:pStyle w:val="ListParagraph"/>
        <w:numPr>
          <w:ilvl w:val="0"/>
          <w:numId w:val="1"/>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 xml:space="preserve">The company then transfers the shares and enters the new shareholder in its records. </w:t>
      </w:r>
    </w:p>
    <w:p w14:paraId="3A71267B" w14:textId="77777777" w:rsidR="00085509" w:rsidRPr="004A74C2" w:rsidRDefault="00085509" w:rsidP="00085509">
      <w:pPr>
        <w:pStyle w:val="ListParagraph"/>
        <w:spacing w:after="0" w:line="240" w:lineRule="auto"/>
        <w:jc w:val="both"/>
        <w:rPr>
          <w:rFonts w:ascii="Arial" w:eastAsia="Calibri" w:hAnsi="Arial" w:cs="Arial"/>
          <w:bCs/>
          <w:sz w:val="24"/>
          <w:szCs w:val="24"/>
          <w:lang w:val="en-US"/>
        </w:rPr>
      </w:pPr>
    </w:p>
    <w:p w14:paraId="21DE188C" w14:textId="77777777" w:rsidR="00085509" w:rsidRPr="004A74C2" w:rsidRDefault="00085509" w:rsidP="00085509">
      <w:pPr>
        <w:pStyle w:val="ListParagraph"/>
        <w:spacing w:after="0" w:line="240" w:lineRule="auto"/>
        <w:jc w:val="both"/>
        <w:rPr>
          <w:rFonts w:ascii="Arial" w:eastAsia="Calibri" w:hAnsi="Arial" w:cs="Arial"/>
          <w:bCs/>
          <w:sz w:val="24"/>
          <w:szCs w:val="24"/>
          <w:lang w:val="en-US"/>
        </w:rPr>
      </w:pPr>
      <w:r>
        <w:rPr>
          <w:rFonts w:ascii="Arial" w:eastAsia="Calibri" w:hAnsi="Arial" w:cs="Arial"/>
          <w:bCs/>
          <w:sz w:val="24"/>
          <w:szCs w:val="24"/>
          <w:lang w:val="en-US"/>
        </w:rPr>
        <w:t xml:space="preserve">Nb: when an already existing company is sold, the shareholders of that company should sign share transfer forms in favor of the new shareholders.  The new shareholders should </w:t>
      </w:r>
      <w:r w:rsidRPr="004A74C2">
        <w:rPr>
          <w:rFonts w:ascii="Arial" w:eastAsia="Calibri" w:hAnsi="Arial" w:cs="Arial"/>
          <w:bCs/>
          <w:sz w:val="24"/>
          <w:szCs w:val="24"/>
          <w:lang w:val="en-US"/>
        </w:rPr>
        <w:t>obtain share certificate</w:t>
      </w:r>
      <w:r>
        <w:rPr>
          <w:rFonts w:ascii="Arial" w:eastAsia="Calibri" w:hAnsi="Arial" w:cs="Arial"/>
          <w:bCs/>
          <w:sz w:val="24"/>
          <w:szCs w:val="24"/>
          <w:lang w:val="en-US"/>
        </w:rPr>
        <w:t>s</w:t>
      </w:r>
      <w:r w:rsidRPr="004A74C2">
        <w:rPr>
          <w:rFonts w:ascii="Arial" w:eastAsia="Calibri" w:hAnsi="Arial" w:cs="Arial"/>
          <w:bCs/>
          <w:sz w:val="24"/>
          <w:szCs w:val="24"/>
          <w:lang w:val="en-US"/>
        </w:rPr>
        <w:t xml:space="preserve"> which is proof of their shareholding in the company. </w:t>
      </w:r>
      <w:r>
        <w:rPr>
          <w:rFonts w:ascii="Arial" w:eastAsia="Calibri" w:hAnsi="Arial" w:cs="Arial"/>
          <w:bCs/>
          <w:sz w:val="24"/>
          <w:szCs w:val="24"/>
          <w:lang w:val="en-US"/>
        </w:rPr>
        <w:t>At the same time, the directors should resign and the investor should appoint new directors and file a new CR6 showing the changes.</w:t>
      </w:r>
    </w:p>
    <w:p w14:paraId="606080DC" w14:textId="77777777" w:rsidR="00085509" w:rsidRPr="004A74C2" w:rsidRDefault="00085509" w:rsidP="00085509">
      <w:pPr>
        <w:pStyle w:val="ListParagraph"/>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w:t>
      </w:r>
    </w:p>
    <w:p w14:paraId="713C5521" w14:textId="77777777" w:rsidR="00085509" w:rsidRPr="004A74C2" w:rsidRDefault="00085509" w:rsidP="00085509">
      <w:pPr>
        <w:spacing w:after="0" w:line="240" w:lineRule="auto"/>
        <w:jc w:val="both"/>
        <w:rPr>
          <w:rFonts w:ascii="Arial" w:eastAsia="Calibri" w:hAnsi="Arial"/>
          <w:bCs/>
          <w:lang w:val="en-US"/>
        </w:rPr>
      </w:pPr>
    </w:p>
    <w:p w14:paraId="329AD1B1" w14:textId="77777777" w:rsidR="00085509" w:rsidRPr="004A74C2" w:rsidRDefault="00085509" w:rsidP="00085509">
      <w:pPr>
        <w:spacing w:after="0" w:line="240" w:lineRule="auto"/>
        <w:jc w:val="both"/>
        <w:rPr>
          <w:rFonts w:ascii="Arial" w:eastAsia="Calibri" w:hAnsi="Arial"/>
          <w:b/>
          <w:u w:val="single"/>
          <w:lang w:val="en-US"/>
        </w:rPr>
      </w:pPr>
      <w:r w:rsidRPr="004A74C2">
        <w:rPr>
          <w:rFonts w:ascii="Arial" w:eastAsia="Calibri" w:hAnsi="Arial"/>
          <w:b/>
          <w:u w:val="single"/>
          <w:lang w:val="en-US"/>
        </w:rPr>
        <w:t>Sale of shares agreement</w:t>
      </w:r>
    </w:p>
    <w:p w14:paraId="786B5322" w14:textId="77777777" w:rsidR="00085509" w:rsidRPr="004A74C2" w:rsidRDefault="00085509" w:rsidP="00085509">
      <w:pPr>
        <w:spacing w:after="0" w:line="240" w:lineRule="auto"/>
        <w:jc w:val="both"/>
        <w:rPr>
          <w:rFonts w:ascii="Arial" w:eastAsia="Calibri" w:hAnsi="Arial"/>
          <w:b/>
          <w:u w:val="single"/>
          <w:lang w:val="en-US"/>
        </w:rPr>
      </w:pPr>
    </w:p>
    <w:p w14:paraId="48612567" w14:textId="77777777" w:rsidR="00085509" w:rsidRPr="004A74C2" w:rsidRDefault="00085509" w:rsidP="00085509">
      <w:pPr>
        <w:pStyle w:val="ListParagraph"/>
        <w:numPr>
          <w:ilvl w:val="0"/>
          <w:numId w:val="2"/>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It is an agreement whereby an existing shareholder sells their shares for an agreed price and this process includes:</w:t>
      </w:r>
    </w:p>
    <w:p w14:paraId="51E4C98B" w14:textId="77777777" w:rsidR="00085509" w:rsidRPr="004A74C2" w:rsidRDefault="00085509" w:rsidP="00085509">
      <w:pPr>
        <w:pStyle w:val="ListParagraph"/>
        <w:numPr>
          <w:ilvl w:val="0"/>
          <w:numId w:val="3"/>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Stating the company whose issued shares are being sold</w:t>
      </w:r>
    </w:p>
    <w:p w14:paraId="5114AD44" w14:textId="77777777" w:rsidR="00085509" w:rsidRPr="004A74C2" w:rsidRDefault="00085509" w:rsidP="00085509">
      <w:pPr>
        <w:pStyle w:val="ListParagraph"/>
        <w:numPr>
          <w:ilvl w:val="0"/>
          <w:numId w:val="3"/>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Stating the parties to agreement</w:t>
      </w:r>
    </w:p>
    <w:p w14:paraId="2147E664" w14:textId="77777777" w:rsidR="00085509" w:rsidRPr="004A74C2" w:rsidRDefault="00085509" w:rsidP="00085509">
      <w:pPr>
        <w:pStyle w:val="ListParagraph"/>
        <w:numPr>
          <w:ilvl w:val="0"/>
          <w:numId w:val="3"/>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Stating the number of shares being sold</w:t>
      </w:r>
    </w:p>
    <w:p w14:paraId="5E5E5841" w14:textId="77777777" w:rsidR="00085509" w:rsidRPr="004A74C2" w:rsidRDefault="00085509" w:rsidP="00085509">
      <w:pPr>
        <w:pStyle w:val="ListParagraph"/>
        <w:numPr>
          <w:ilvl w:val="0"/>
          <w:numId w:val="3"/>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Stating the purchase price</w:t>
      </w:r>
    </w:p>
    <w:p w14:paraId="646C8BDB" w14:textId="77777777" w:rsidR="00085509" w:rsidRPr="004A74C2" w:rsidRDefault="00085509" w:rsidP="00085509">
      <w:pPr>
        <w:pStyle w:val="ListParagraph"/>
        <w:numPr>
          <w:ilvl w:val="0"/>
          <w:numId w:val="3"/>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Timing of the transfer of shares, whether before or after full payment of the purchase price</w:t>
      </w:r>
    </w:p>
    <w:p w14:paraId="333E2D05" w14:textId="77777777" w:rsidR="00085509" w:rsidRPr="004A74C2" w:rsidRDefault="00085509" w:rsidP="00085509">
      <w:pPr>
        <w:pStyle w:val="ListParagraph"/>
        <w:numPr>
          <w:ilvl w:val="0"/>
          <w:numId w:val="3"/>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 xml:space="preserve">Return of allotment (CR11) </w:t>
      </w:r>
    </w:p>
    <w:p w14:paraId="7351F833" w14:textId="77777777" w:rsidR="00085509" w:rsidRPr="004A74C2" w:rsidRDefault="00085509" w:rsidP="00085509">
      <w:pPr>
        <w:pStyle w:val="ListParagraph"/>
        <w:numPr>
          <w:ilvl w:val="0"/>
          <w:numId w:val="3"/>
        </w:numPr>
        <w:spacing w:after="0"/>
        <w:jc w:val="both"/>
        <w:rPr>
          <w:rFonts w:ascii="Arial" w:hAnsi="Arial" w:cs="Arial"/>
          <w:sz w:val="24"/>
          <w:szCs w:val="24"/>
        </w:rPr>
      </w:pPr>
      <w:r w:rsidRPr="004A74C2">
        <w:rPr>
          <w:rFonts w:ascii="Arial" w:eastAsia="Calibri" w:hAnsi="Arial" w:cs="Arial"/>
          <w:bCs/>
          <w:sz w:val="24"/>
          <w:szCs w:val="24"/>
          <w:lang w:val="en-US"/>
        </w:rPr>
        <w:t>CR2</w:t>
      </w:r>
    </w:p>
    <w:p w14:paraId="2AAB9F22" w14:textId="77777777" w:rsidR="00085509" w:rsidRPr="004A74C2" w:rsidRDefault="00085509" w:rsidP="00085509">
      <w:pPr>
        <w:pStyle w:val="ListParagraph"/>
        <w:spacing w:after="0" w:line="240" w:lineRule="auto"/>
        <w:ind w:left="1440"/>
        <w:jc w:val="both"/>
        <w:rPr>
          <w:rFonts w:ascii="Arial" w:eastAsia="Calibri" w:hAnsi="Arial" w:cs="Arial"/>
          <w:bCs/>
          <w:sz w:val="24"/>
          <w:szCs w:val="24"/>
          <w:lang w:val="en-US"/>
        </w:rPr>
      </w:pPr>
    </w:p>
    <w:p w14:paraId="1504B6B1" w14:textId="77777777" w:rsidR="00085509" w:rsidRPr="004A74C2" w:rsidRDefault="00085509" w:rsidP="00085509">
      <w:pPr>
        <w:spacing w:after="0"/>
        <w:jc w:val="both"/>
        <w:rPr>
          <w:rFonts w:ascii="Arial" w:hAnsi="Arial"/>
          <w:b/>
          <w:u w:val="single"/>
        </w:rPr>
      </w:pPr>
      <w:r w:rsidRPr="004A74C2">
        <w:rPr>
          <w:rFonts w:ascii="Arial" w:hAnsi="Arial"/>
          <w:b/>
          <w:u w:val="single"/>
        </w:rPr>
        <w:t>Who qualifies to be a shareholder in a Zimbabwean company?</w:t>
      </w:r>
    </w:p>
    <w:p w14:paraId="70E167E2" w14:textId="77777777" w:rsidR="00085509" w:rsidRPr="004A74C2" w:rsidRDefault="00085509" w:rsidP="00085509">
      <w:pPr>
        <w:pStyle w:val="ListParagraph"/>
        <w:numPr>
          <w:ilvl w:val="0"/>
          <w:numId w:val="2"/>
        </w:numPr>
        <w:spacing w:after="0"/>
        <w:jc w:val="both"/>
        <w:rPr>
          <w:rFonts w:ascii="Arial" w:hAnsi="Arial" w:cs="Arial"/>
          <w:sz w:val="24"/>
          <w:szCs w:val="24"/>
        </w:rPr>
      </w:pPr>
      <w:r w:rsidRPr="004A74C2">
        <w:rPr>
          <w:rFonts w:ascii="Arial" w:hAnsi="Arial" w:cs="Arial"/>
          <w:sz w:val="24"/>
          <w:szCs w:val="24"/>
        </w:rPr>
        <w:t xml:space="preserve">Anybody can be a shareholder in a Zimbabwean company </w:t>
      </w:r>
    </w:p>
    <w:p w14:paraId="125B432A" w14:textId="77777777" w:rsidR="00085509" w:rsidRPr="004A74C2" w:rsidRDefault="00085509" w:rsidP="00085509">
      <w:pPr>
        <w:pStyle w:val="ListParagraph"/>
        <w:spacing w:after="0"/>
        <w:jc w:val="both"/>
        <w:rPr>
          <w:rFonts w:ascii="Arial" w:hAnsi="Arial" w:cs="Arial"/>
          <w:sz w:val="24"/>
          <w:szCs w:val="24"/>
        </w:rPr>
      </w:pPr>
    </w:p>
    <w:p w14:paraId="522C51B0" w14:textId="77777777" w:rsidR="00085509" w:rsidRPr="004A74C2" w:rsidRDefault="00085509" w:rsidP="00085509">
      <w:pPr>
        <w:pStyle w:val="ListParagraph"/>
        <w:numPr>
          <w:ilvl w:val="0"/>
          <w:numId w:val="2"/>
        </w:numPr>
        <w:spacing w:after="0"/>
        <w:jc w:val="both"/>
        <w:rPr>
          <w:rFonts w:ascii="Arial" w:eastAsia="Calibri" w:hAnsi="Arial" w:cs="Arial"/>
          <w:bCs/>
          <w:sz w:val="24"/>
          <w:szCs w:val="24"/>
          <w:lang w:val="en-US"/>
        </w:rPr>
      </w:pPr>
      <w:r w:rsidRPr="004A74C2">
        <w:rPr>
          <w:rFonts w:ascii="Arial" w:hAnsi="Arial" w:cs="Arial"/>
          <w:sz w:val="24"/>
          <w:szCs w:val="24"/>
        </w:rPr>
        <w:t xml:space="preserve">There is no requirement that foreign shareholders must partner with locals. The </w:t>
      </w:r>
      <w:r w:rsidRPr="004A74C2">
        <w:rPr>
          <w:rFonts w:ascii="Arial" w:eastAsia="Calibri" w:hAnsi="Arial" w:cs="Arial"/>
          <w:bCs/>
          <w:sz w:val="24"/>
          <w:szCs w:val="24"/>
          <w:lang w:val="en-US"/>
        </w:rPr>
        <w:t>companies and other business entities Act [Chapter 24:31] only requires that one of the directors can ordinarily be resident in Zimbabwe.</w:t>
      </w:r>
    </w:p>
    <w:p w14:paraId="0946A5F5" w14:textId="77777777" w:rsidR="00085509" w:rsidRPr="004A74C2" w:rsidRDefault="00085509" w:rsidP="00085509">
      <w:pPr>
        <w:spacing w:after="0"/>
        <w:jc w:val="both"/>
        <w:rPr>
          <w:rFonts w:ascii="Arial" w:eastAsia="Calibri" w:hAnsi="Arial"/>
          <w:bCs/>
          <w:lang w:val="en-US"/>
        </w:rPr>
      </w:pPr>
    </w:p>
    <w:p w14:paraId="76595362" w14:textId="77777777" w:rsidR="00085509" w:rsidRPr="004A74C2" w:rsidRDefault="00085509" w:rsidP="00085509">
      <w:pPr>
        <w:spacing w:after="0" w:line="240" w:lineRule="auto"/>
        <w:jc w:val="both"/>
        <w:rPr>
          <w:rFonts w:ascii="Arial" w:eastAsia="Calibri" w:hAnsi="Arial"/>
          <w:b/>
          <w:u w:val="single"/>
          <w:lang w:val="en-US"/>
        </w:rPr>
      </w:pPr>
      <w:r w:rsidRPr="004A74C2">
        <w:rPr>
          <w:rFonts w:ascii="Arial" w:eastAsia="Calibri" w:hAnsi="Arial"/>
          <w:b/>
          <w:u w:val="single"/>
          <w:lang w:val="en-US"/>
        </w:rPr>
        <w:t>Other ways an investor can become a shareholder of a company?</w:t>
      </w:r>
    </w:p>
    <w:p w14:paraId="5BE0DD52" w14:textId="77777777" w:rsidR="00085509" w:rsidRPr="004A74C2" w:rsidRDefault="00085509" w:rsidP="00085509">
      <w:pPr>
        <w:spacing w:after="0" w:line="240" w:lineRule="auto"/>
        <w:jc w:val="both"/>
        <w:rPr>
          <w:rFonts w:ascii="Arial" w:eastAsia="Calibri" w:hAnsi="Arial"/>
          <w:b/>
          <w:u w:val="single"/>
          <w:lang w:val="en-US"/>
        </w:rPr>
      </w:pPr>
    </w:p>
    <w:p w14:paraId="5C978368" w14:textId="77777777" w:rsidR="00085509" w:rsidRPr="004A74C2" w:rsidRDefault="00085509" w:rsidP="00085509">
      <w:pPr>
        <w:pStyle w:val="ListParagraph"/>
        <w:numPr>
          <w:ilvl w:val="0"/>
          <w:numId w:val="6"/>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By buying shares from the stock market.</w:t>
      </w:r>
    </w:p>
    <w:p w14:paraId="3B9906D8" w14:textId="77777777" w:rsidR="00085509" w:rsidRPr="004A74C2" w:rsidRDefault="00085509" w:rsidP="00085509">
      <w:pPr>
        <w:pStyle w:val="ListParagraph"/>
        <w:spacing w:after="0" w:line="240" w:lineRule="auto"/>
        <w:jc w:val="both"/>
        <w:rPr>
          <w:rFonts w:ascii="Arial" w:eastAsia="Calibri" w:hAnsi="Arial" w:cs="Arial"/>
          <w:bCs/>
          <w:sz w:val="24"/>
          <w:szCs w:val="24"/>
          <w:lang w:val="en-US"/>
        </w:rPr>
      </w:pPr>
    </w:p>
    <w:p w14:paraId="78A8730B" w14:textId="77777777" w:rsidR="00085509" w:rsidRPr="004A74C2" w:rsidRDefault="00085509" w:rsidP="00085509">
      <w:pPr>
        <w:pStyle w:val="ListParagraph"/>
        <w:numPr>
          <w:ilvl w:val="0"/>
          <w:numId w:val="6"/>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By buying shares from public companies which requires help of a blockage firm.</w:t>
      </w:r>
    </w:p>
    <w:p w14:paraId="71526062" w14:textId="77777777" w:rsidR="00085509" w:rsidRPr="004A74C2" w:rsidRDefault="00085509" w:rsidP="00085509">
      <w:pPr>
        <w:pStyle w:val="ListParagraph"/>
        <w:spacing w:after="0" w:line="240" w:lineRule="auto"/>
        <w:jc w:val="both"/>
        <w:rPr>
          <w:rFonts w:ascii="Arial" w:eastAsia="Calibri" w:hAnsi="Arial" w:cs="Arial"/>
          <w:bCs/>
          <w:sz w:val="24"/>
          <w:szCs w:val="24"/>
          <w:lang w:val="en-US"/>
        </w:rPr>
      </w:pPr>
    </w:p>
    <w:p w14:paraId="00488551" w14:textId="77777777" w:rsidR="00085509" w:rsidRPr="004A74C2" w:rsidRDefault="00085509" w:rsidP="00085509">
      <w:pPr>
        <w:spacing w:after="0" w:line="240" w:lineRule="auto"/>
        <w:jc w:val="both"/>
        <w:rPr>
          <w:rFonts w:ascii="Arial" w:eastAsia="Calibri" w:hAnsi="Arial"/>
          <w:b/>
          <w:u w:val="single"/>
          <w:lang w:val="en-US"/>
        </w:rPr>
      </w:pPr>
      <w:r w:rsidRPr="004A74C2">
        <w:rPr>
          <w:rFonts w:ascii="Arial" w:eastAsia="Calibri" w:hAnsi="Arial"/>
          <w:b/>
          <w:u w:val="single"/>
          <w:lang w:val="en-US"/>
        </w:rPr>
        <w:t>What do you have to consider when acquiring shares?</w:t>
      </w:r>
    </w:p>
    <w:p w14:paraId="792F35AF" w14:textId="77777777" w:rsidR="00085509" w:rsidRPr="004A74C2" w:rsidRDefault="00085509" w:rsidP="00085509">
      <w:pPr>
        <w:spacing w:after="0" w:line="240" w:lineRule="auto"/>
        <w:jc w:val="both"/>
        <w:rPr>
          <w:rFonts w:ascii="Arial" w:eastAsia="Calibri" w:hAnsi="Arial"/>
          <w:b/>
          <w:u w:val="single"/>
          <w:lang w:val="en-US"/>
        </w:rPr>
      </w:pPr>
    </w:p>
    <w:p w14:paraId="232B82CC" w14:textId="77777777" w:rsidR="00085509" w:rsidRPr="004A74C2" w:rsidRDefault="00085509" w:rsidP="00085509">
      <w:pPr>
        <w:pStyle w:val="ListParagraph"/>
        <w:numPr>
          <w:ilvl w:val="0"/>
          <w:numId w:val="7"/>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Successful track records of the company</w:t>
      </w:r>
    </w:p>
    <w:p w14:paraId="57459683" w14:textId="77777777" w:rsidR="00085509" w:rsidRPr="004A74C2" w:rsidRDefault="00085509" w:rsidP="00085509">
      <w:pPr>
        <w:pStyle w:val="ListParagraph"/>
        <w:numPr>
          <w:ilvl w:val="0"/>
          <w:numId w:val="7"/>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 xml:space="preserve">Companies’ </w:t>
      </w:r>
      <w:proofErr w:type="spellStart"/>
      <w:r w:rsidRPr="004A74C2">
        <w:rPr>
          <w:rFonts w:ascii="Arial" w:eastAsia="Calibri" w:hAnsi="Arial" w:cs="Arial"/>
          <w:bCs/>
          <w:sz w:val="24"/>
          <w:szCs w:val="24"/>
          <w:lang w:val="en-US"/>
        </w:rPr>
        <w:t>favourable</w:t>
      </w:r>
      <w:proofErr w:type="spellEnd"/>
      <w:r w:rsidRPr="004A74C2">
        <w:rPr>
          <w:rFonts w:ascii="Arial" w:eastAsia="Calibri" w:hAnsi="Arial" w:cs="Arial"/>
          <w:bCs/>
          <w:sz w:val="24"/>
          <w:szCs w:val="24"/>
          <w:lang w:val="en-US"/>
        </w:rPr>
        <w:t xml:space="preserve"> revenue and profit forecasts</w:t>
      </w:r>
    </w:p>
    <w:p w14:paraId="23AC0798" w14:textId="77777777" w:rsidR="00085509" w:rsidRPr="004A74C2" w:rsidRDefault="00085509" w:rsidP="00085509">
      <w:pPr>
        <w:pStyle w:val="ListParagraph"/>
        <w:numPr>
          <w:ilvl w:val="0"/>
          <w:numId w:val="7"/>
        </w:numPr>
        <w:spacing w:after="0"/>
        <w:jc w:val="both"/>
        <w:rPr>
          <w:rFonts w:ascii="Arial" w:eastAsia="Calibri" w:hAnsi="Arial" w:cs="Arial"/>
          <w:bCs/>
          <w:sz w:val="24"/>
          <w:szCs w:val="24"/>
          <w:lang w:val="en-US"/>
        </w:rPr>
      </w:pPr>
      <w:r w:rsidRPr="004A74C2">
        <w:rPr>
          <w:rFonts w:ascii="Arial" w:eastAsia="Calibri" w:hAnsi="Arial" w:cs="Arial"/>
          <w:bCs/>
          <w:sz w:val="24"/>
          <w:szCs w:val="24"/>
          <w:lang w:val="en-US"/>
        </w:rPr>
        <w:t>Tips and advice from expert analysts</w:t>
      </w:r>
    </w:p>
    <w:p w14:paraId="19AC0A31" w14:textId="77777777" w:rsidR="00085509" w:rsidRPr="004A74C2" w:rsidRDefault="00085509" w:rsidP="00085509">
      <w:pPr>
        <w:spacing w:after="0"/>
        <w:jc w:val="both"/>
        <w:rPr>
          <w:rFonts w:ascii="Arial" w:eastAsia="Calibri" w:hAnsi="Arial"/>
          <w:bCs/>
          <w:lang w:val="en-US"/>
        </w:rPr>
      </w:pPr>
    </w:p>
    <w:p w14:paraId="780FC793" w14:textId="77777777" w:rsidR="00085509" w:rsidRPr="004A74C2" w:rsidRDefault="00085509" w:rsidP="00085509">
      <w:pPr>
        <w:spacing w:after="0"/>
        <w:jc w:val="both"/>
        <w:rPr>
          <w:rFonts w:ascii="Arial" w:eastAsia="Calibri" w:hAnsi="Arial"/>
          <w:b/>
          <w:bCs/>
          <w:u w:val="single"/>
          <w:lang w:val="en-US"/>
        </w:rPr>
      </w:pPr>
      <w:r w:rsidRPr="004A74C2">
        <w:rPr>
          <w:rFonts w:ascii="Arial" w:eastAsia="Calibri" w:hAnsi="Arial"/>
          <w:b/>
          <w:bCs/>
          <w:u w:val="single"/>
          <w:lang w:val="en-US"/>
        </w:rPr>
        <w:t>Nominee shareholding</w:t>
      </w:r>
    </w:p>
    <w:p w14:paraId="10684113" w14:textId="77777777" w:rsidR="00085509" w:rsidRPr="004A74C2" w:rsidRDefault="00085509" w:rsidP="00085509">
      <w:pPr>
        <w:pStyle w:val="ListParagraph"/>
        <w:numPr>
          <w:ilvl w:val="0"/>
          <w:numId w:val="8"/>
        </w:numPr>
        <w:spacing w:after="0"/>
        <w:jc w:val="both"/>
        <w:rPr>
          <w:rFonts w:ascii="Arial" w:hAnsi="Arial" w:cs="Arial"/>
          <w:sz w:val="24"/>
          <w:szCs w:val="24"/>
        </w:rPr>
      </w:pPr>
      <w:r w:rsidRPr="004A74C2">
        <w:rPr>
          <w:rFonts w:ascii="Arial" w:eastAsia="Calibri" w:hAnsi="Arial" w:cs="Arial"/>
          <w:bCs/>
          <w:sz w:val="24"/>
          <w:szCs w:val="24"/>
          <w:lang w:val="en-US"/>
        </w:rPr>
        <w:t xml:space="preserve">An investor can appoint a nominee to hold shares on their behalf, provided that those shares shall not be more than 20% of the shares in the company </w:t>
      </w:r>
      <w:r w:rsidRPr="004A74C2">
        <w:rPr>
          <w:rFonts w:ascii="Arial" w:hAnsi="Arial" w:cs="Arial"/>
          <w:sz w:val="24"/>
          <w:szCs w:val="24"/>
        </w:rPr>
        <w:t xml:space="preserve"> </w:t>
      </w:r>
    </w:p>
    <w:p w14:paraId="0A953452" w14:textId="77777777" w:rsidR="00085509" w:rsidRPr="004A74C2" w:rsidRDefault="00085509" w:rsidP="00085509">
      <w:pPr>
        <w:pStyle w:val="ListParagraph"/>
        <w:numPr>
          <w:ilvl w:val="0"/>
          <w:numId w:val="8"/>
        </w:numPr>
        <w:spacing w:after="0"/>
        <w:jc w:val="both"/>
        <w:rPr>
          <w:rFonts w:ascii="Arial" w:hAnsi="Arial" w:cs="Arial"/>
          <w:sz w:val="24"/>
          <w:szCs w:val="24"/>
        </w:rPr>
      </w:pPr>
      <w:r w:rsidRPr="004A74C2">
        <w:rPr>
          <w:rFonts w:ascii="Arial" w:eastAsia="Calibri" w:hAnsi="Arial" w:cs="Arial"/>
          <w:bCs/>
          <w:sz w:val="24"/>
          <w:szCs w:val="24"/>
          <w:lang w:val="en-US"/>
        </w:rPr>
        <w:t>The Nominee shareholder therefore, is the owner in name only and it is his name that is entered in the register of the members.</w:t>
      </w:r>
    </w:p>
    <w:p w14:paraId="1904ED08" w14:textId="77777777" w:rsidR="00085509" w:rsidRPr="004A74C2" w:rsidRDefault="00085509" w:rsidP="00085509">
      <w:pPr>
        <w:pStyle w:val="ListParagraph"/>
        <w:numPr>
          <w:ilvl w:val="0"/>
          <w:numId w:val="8"/>
        </w:numPr>
        <w:spacing w:after="0"/>
        <w:jc w:val="both"/>
        <w:rPr>
          <w:rFonts w:ascii="Arial" w:hAnsi="Arial" w:cs="Arial"/>
          <w:sz w:val="24"/>
          <w:szCs w:val="24"/>
        </w:rPr>
      </w:pPr>
      <w:r w:rsidRPr="004A74C2">
        <w:rPr>
          <w:rFonts w:ascii="Arial" w:hAnsi="Arial" w:cs="Arial"/>
          <w:sz w:val="24"/>
          <w:szCs w:val="24"/>
        </w:rPr>
        <w:t>This relationship is governed by a nominee shareholder agreement which outlines the nominee’s duties.</w:t>
      </w:r>
    </w:p>
    <w:p w14:paraId="6D060B12" w14:textId="77777777" w:rsidR="00085509" w:rsidRPr="004A74C2" w:rsidRDefault="00085509" w:rsidP="00085509">
      <w:pPr>
        <w:spacing w:after="0"/>
        <w:jc w:val="both"/>
        <w:rPr>
          <w:rFonts w:ascii="Arial" w:hAnsi="Arial"/>
        </w:rPr>
      </w:pPr>
    </w:p>
    <w:p w14:paraId="1BE3901A" w14:textId="77777777" w:rsidR="00085509" w:rsidRPr="004A74C2" w:rsidRDefault="00085509" w:rsidP="00085509">
      <w:pPr>
        <w:spacing w:after="0"/>
        <w:jc w:val="both"/>
        <w:rPr>
          <w:rFonts w:ascii="Arial" w:hAnsi="Arial"/>
          <w:b/>
          <w:u w:val="single"/>
        </w:rPr>
      </w:pPr>
      <w:r w:rsidRPr="004A74C2">
        <w:rPr>
          <w:rFonts w:ascii="Arial" w:hAnsi="Arial"/>
          <w:b/>
          <w:u w:val="single"/>
        </w:rPr>
        <w:t xml:space="preserve">Why nominee shareholding is beneficial </w:t>
      </w:r>
    </w:p>
    <w:p w14:paraId="041BF1EB" w14:textId="77777777" w:rsidR="00085509" w:rsidRPr="004A74C2" w:rsidRDefault="00085509" w:rsidP="00085509">
      <w:pPr>
        <w:pStyle w:val="ListParagraph"/>
        <w:numPr>
          <w:ilvl w:val="0"/>
          <w:numId w:val="9"/>
        </w:numPr>
        <w:spacing w:after="0"/>
        <w:jc w:val="both"/>
        <w:rPr>
          <w:rFonts w:ascii="Arial" w:hAnsi="Arial" w:cs="Arial"/>
          <w:sz w:val="24"/>
          <w:szCs w:val="24"/>
        </w:rPr>
      </w:pPr>
      <w:r w:rsidRPr="004A74C2">
        <w:rPr>
          <w:rFonts w:ascii="Arial" w:hAnsi="Arial" w:cs="Arial"/>
          <w:sz w:val="24"/>
          <w:szCs w:val="24"/>
        </w:rPr>
        <w:t xml:space="preserve">It assists shareholders who are too busy to tend to their business daily and regulates what is done with their shares in their absence. </w:t>
      </w:r>
    </w:p>
    <w:p w14:paraId="3F1C67E3" w14:textId="77777777" w:rsidR="00085509" w:rsidRPr="004A74C2" w:rsidRDefault="00085509" w:rsidP="00085509">
      <w:pPr>
        <w:pStyle w:val="ListParagraph"/>
        <w:numPr>
          <w:ilvl w:val="0"/>
          <w:numId w:val="9"/>
        </w:numPr>
        <w:spacing w:after="0"/>
        <w:jc w:val="both"/>
        <w:rPr>
          <w:rFonts w:ascii="Arial" w:hAnsi="Arial" w:cs="Arial"/>
          <w:sz w:val="24"/>
          <w:szCs w:val="24"/>
        </w:rPr>
      </w:pPr>
      <w:r w:rsidRPr="004A74C2">
        <w:rPr>
          <w:rFonts w:ascii="Arial" w:hAnsi="Arial" w:cs="Arial"/>
          <w:sz w:val="24"/>
          <w:szCs w:val="24"/>
        </w:rPr>
        <w:t xml:space="preserve">It affords investors a level of secrecy because it is the name of the Nominee that will be entered on the company’s books and not that of the investor.  </w:t>
      </w:r>
    </w:p>
    <w:p w14:paraId="3FCA4D0D" w14:textId="77777777" w:rsidR="00085509" w:rsidRPr="004A74C2" w:rsidRDefault="00085509" w:rsidP="00085509">
      <w:pPr>
        <w:spacing w:after="0"/>
        <w:jc w:val="both"/>
        <w:rPr>
          <w:rFonts w:ascii="Arial" w:hAnsi="Arial"/>
        </w:rPr>
      </w:pPr>
    </w:p>
    <w:p w14:paraId="4EFAC08A" w14:textId="77777777" w:rsidR="00085509" w:rsidRPr="004A74C2" w:rsidRDefault="00085509" w:rsidP="00085509">
      <w:pPr>
        <w:spacing w:after="0"/>
        <w:jc w:val="both"/>
        <w:rPr>
          <w:rFonts w:ascii="Arial" w:hAnsi="Arial"/>
        </w:rPr>
      </w:pPr>
    </w:p>
    <w:p w14:paraId="04B95FA7" w14:textId="77777777" w:rsidR="00085509" w:rsidRPr="004A74C2" w:rsidRDefault="00085509" w:rsidP="00085509">
      <w:pPr>
        <w:spacing w:after="0" w:line="240" w:lineRule="auto"/>
        <w:jc w:val="both"/>
        <w:rPr>
          <w:rFonts w:ascii="Arial" w:eastAsia="Calibri" w:hAnsi="Arial"/>
          <w:b/>
          <w:u w:val="single"/>
          <w:lang w:val="en-US"/>
        </w:rPr>
      </w:pPr>
      <w:r w:rsidRPr="004A74C2">
        <w:rPr>
          <w:rFonts w:ascii="Arial" w:eastAsia="Calibri" w:hAnsi="Arial"/>
          <w:b/>
          <w:u w:val="single"/>
          <w:lang w:val="en-US"/>
        </w:rPr>
        <w:t>DIRECTORSHIP</w:t>
      </w:r>
    </w:p>
    <w:p w14:paraId="56974443" w14:textId="77777777" w:rsidR="00085509" w:rsidRPr="004A74C2" w:rsidRDefault="00085509" w:rsidP="00085509">
      <w:pPr>
        <w:spacing w:after="0" w:line="240" w:lineRule="auto"/>
        <w:jc w:val="both"/>
        <w:rPr>
          <w:rFonts w:ascii="Arial" w:eastAsia="Calibri" w:hAnsi="Arial"/>
          <w:bCs/>
          <w:lang w:val="en-US"/>
        </w:rPr>
      </w:pPr>
    </w:p>
    <w:p w14:paraId="042299D5" w14:textId="77777777" w:rsidR="00085509" w:rsidRPr="004A74C2" w:rsidRDefault="00085509" w:rsidP="00085509">
      <w:pPr>
        <w:spacing w:after="0" w:line="240" w:lineRule="auto"/>
        <w:jc w:val="both"/>
        <w:rPr>
          <w:rFonts w:ascii="Arial" w:eastAsia="Calibri" w:hAnsi="Arial"/>
          <w:bCs/>
          <w:lang w:val="en-US"/>
        </w:rPr>
      </w:pPr>
      <w:r w:rsidRPr="004A74C2">
        <w:rPr>
          <w:rFonts w:ascii="Arial" w:eastAsia="Calibri" w:hAnsi="Arial"/>
          <w:bCs/>
          <w:lang w:val="en-US"/>
        </w:rPr>
        <w:t>The list of directors and secretaries used to be submitted to the Registrar of companies using in the required form (CR6).</w:t>
      </w:r>
    </w:p>
    <w:p w14:paraId="3E742B8A" w14:textId="77777777" w:rsidR="00085509" w:rsidRPr="004A74C2" w:rsidRDefault="00085509" w:rsidP="00085509">
      <w:pPr>
        <w:spacing w:after="0" w:line="240" w:lineRule="auto"/>
        <w:jc w:val="both"/>
        <w:rPr>
          <w:rFonts w:ascii="Arial" w:eastAsia="Calibri" w:hAnsi="Arial"/>
          <w:bCs/>
          <w:lang w:val="en-US"/>
        </w:rPr>
      </w:pPr>
    </w:p>
    <w:p w14:paraId="09B71897" w14:textId="77777777" w:rsidR="00085509" w:rsidRPr="004A74C2" w:rsidRDefault="00085509" w:rsidP="00085509">
      <w:pPr>
        <w:spacing w:after="0" w:line="240" w:lineRule="auto"/>
        <w:jc w:val="both"/>
        <w:rPr>
          <w:rFonts w:ascii="Arial" w:eastAsia="Calibri" w:hAnsi="Arial"/>
          <w:b/>
          <w:u w:val="single"/>
          <w:lang w:val="en-US"/>
        </w:rPr>
      </w:pPr>
      <w:r w:rsidRPr="004A74C2">
        <w:rPr>
          <w:rFonts w:ascii="Arial" w:eastAsia="Calibri" w:hAnsi="Arial"/>
          <w:b/>
          <w:u w:val="single"/>
          <w:lang w:val="en-US"/>
        </w:rPr>
        <w:t>Who appoints directors?</w:t>
      </w:r>
    </w:p>
    <w:p w14:paraId="503708F5" w14:textId="77777777" w:rsidR="00085509" w:rsidRPr="004A74C2" w:rsidRDefault="00085509" w:rsidP="00085509">
      <w:pPr>
        <w:spacing w:after="0" w:line="240" w:lineRule="auto"/>
        <w:jc w:val="both"/>
        <w:rPr>
          <w:rFonts w:ascii="Arial" w:eastAsia="Calibri" w:hAnsi="Arial"/>
          <w:b/>
          <w:u w:val="single"/>
          <w:lang w:val="en-US"/>
        </w:rPr>
      </w:pPr>
    </w:p>
    <w:p w14:paraId="6A5F905E" w14:textId="77777777" w:rsidR="00085509" w:rsidRPr="004A74C2" w:rsidRDefault="00085509" w:rsidP="00085509">
      <w:pPr>
        <w:pStyle w:val="ListParagraph"/>
        <w:numPr>
          <w:ilvl w:val="0"/>
          <w:numId w:val="2"/>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Shareholders of a company appoints directors by way of voting on their election, for an indefinite term or as the Memorandum of Association stipulates.</w:t>
      </w:r>
    </w:p>
    <w:p w14:paraId="6F325F88" w14:textId="77777777" w:rsidR="00085509" w:rsidRPr="004A74C2" w:rsidRDefault="00085509" w:rsidP="00085509">
      <w:pPr>
        <w:pStyle w:val="ListParagraph"/>
        <w:numPr>
          <w:ilvl w:val="0"/>
          <w:numId w:val="2"/>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 xml:space="preserve">A director of a company can be Zimbabwean or a foreign national. </w:t>
      </w:r>
    </w:p>
    <w:p w14:paraId="7A87C822" w14:textId="77777777" w:rsidR="00085509" w:rsidRPr="004A74C2" w:rsidRDefault="00085509" w:rsidP="00085509">
      <w:pPr>
        <w:spacing w:after="0" w:line="240" w:lineRule="auto"/>
        <w:jc w:val="both"/>
        <w:rPr>
          <w:rFonts w:ascii="Arial" w:eastAsia="Calibri" w:hAnsi="Arial"/>
          <w:bCs/>
          <w:lang w:val="en-US"/>
        </w:rPr>
      </w:pPr>
    </w:p>
    <w:p w14:paraId="4615B790" w14:textId="77777777" w:rsidR="00085509" w:rsidRPr="004A74C2" w:rsidRDefault="00085509" w:rsidP="00085509">
      <w:pPr>
        <w:spacing w:after="0" w:line="240" w:lineRule="auto"/>
        <w:jc w:val="both"/>
        <w:rPr>
          <w:rFonts w:ascii="Arial" w:eastAsia="Calibri" w:hAnsi="Arial"/>
          <w:b/>
          <w:u w:val="single"/>
          <w:lang w:val="en-US"/>
        </w:rPr>
      </w:pPr>
      <w:r w:rsidRPr="004A74C2">
        <w:rPr>
          <w:rFonts w:ascii="Arial" w:eastAsia="Calibri" w:hAnsi="Arial"/>
          <w:b/>
          <w:u w:val="single"/>
          <w:lang w:val="en-US"/>
        </w:rPr>
        <w:t>Appointment or removal of a director</w:t>
      </w:r>
    </w:p>
    <w:p w14:paraId="4A2FE8DA" w14:textId="77777777" w:rsidR="00085509" w:rsidRPr="004A74C2" w:rsidRDefault="00085509" w:rsidP="00085509">
      <w:pPr>
        <w:spacing w:after="0" w:line="240" w:lineRule="auto"/>
        <w:jc w:val="both"/>
        <w:rPr>
          <w:rFonts w:ascii="Arial" w:eastAsia="Calibri" w:hAnsi="Arial"/>
          <w:bCs/>
          <w:lang w:val="en-US"/>
        </w:rPr>
      </w:pPr>
    </w:p>
    <w:p w14:paraId="2B04CF5C" w14:textId="77777777" w:rsidR="00085509" w:rsidRPr="004A74C2" w:rsidRDefault="00085509" w:rsidP="00085509">
      <w:pPr>
        <w:pStyle w:val="ListParagraph"/>
        <w:numPr>
          <w:ilvl w:val="0"/>
          <w:numId w:val="4"/>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 xml:space="preserve">Decision must be done by a board of directors </w:t>
      </w:r>
    </w:p>
    <w:p w14:paraId="7293BFEE" w14:textId="77777777" w:rsidR="00085509" w:rsidRPr="004A74C2" w:rsidRDefault="00085509" w:rsidP="00085509">
      <w:pPr>
        <w:pStyle w:val="ListParagraph"/>
        <w:numPr>
          <w:ilvl w:val="0"/>
          <w:numId w:val="4"/>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Special notice must be filled</w:t>
      </w:r>
    </w:p>
    <w:p w14:paraId="2937008D" w14:textId="77777777" w:rsidR="00085509" w:rsidRPr="004A74C2" w:rsidRDefault="00085509" w:rsidP="00085509">
      <w:pPr>
        <w:pStyle w:val="ListParagraph"/>
        <w:numPr>
          <w:ilvl w:val="0"/>
          <w:numId w:val="4"/>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A receipt and copy of resolution to remove the director shall immediately be send to the concerned director</w:t>
      </w:r>
    </w:p>
    <w:p w14:paraId="3E1CFB10" w14:textId="77777777" w:rsidR="00085509" w:rsidRPr="004A74C2" w:rsidRDefault="00085509" w:rsidP="00085509">
      <w:pPr>
        <w:pStyle w:val="ListParagraph"/>
        <w:numPr>
          <w:ilvl w:val="0"/>
          <w:numId w:val="4"/>
        </w:numPr>
        <w:spacing w:after="0" w:line="240" w:lineRule="auto"/>
        <w:jc w:val="both"/>
        <w:rPr>
          <w:rFonts w:ascii="Arial" w:eastAsia="Calibri" w:hAnsi="Arial" w:cs="Arial"/>
          <w:bCs/>
          <w:sz w:val="24"/>
          <w:szCs w:val="24"/>
          <w:lang w:val="en-US"/>
        </w:rPr>
      </w:pPr>
      <w:r w:rsidRPr="004A74C2">
        <w:rPr>
          <w:rFonts w:ascii="Arial" w:eastAsia="Calibri" w:hAnsi="Arial" w:cs="Arial"/>
          <w:bCs/>
          <w:sz w:val="24"/>
          <w:szCs w:val="24"/>
          <w:lang w:val="en-US"/>
        </w:rPr>
        <w:t xml:space="preserve">A shareholder can also be a director of the same company. </w:t>
      </w:r>
      <w:r w:rsidRPr="004A74C2">
        <w:rPr>
          <w:rFonts w:ascii="Arial" w:hAnsi="Arial" w:cs="Arial"/>
          <w:sz w:val="24"/>
          <w:szCs w:val="24"/>
        </w:rPr>
        <w:t xml:space="preserve"> </w:t>
      </w:r>
    </w:p>
    <w:p w14:paraId="78D8667B" w14:textId="77777777" w:rsidR="00085509" w:rsidRPr="004A74C2" w:rsidRDefault="00085509" w:rsidP="00085509">
      <w:pPr>
        <w:spacing w:after="0" w:line="240" w:lineRule="auto"/>
        <w:jc w:val="both"/>
        <w:rPr>
          <w:rFonts w:ascii="Arial" w:eastAsia="Calibri" w:hAnsi="Arial"/>
          <w:bCs/>
          <w:lang w:val="en-US"/>
        </w:rPr>
      </w:pPr>
    </w:p>
    <w:p w14:paraId="20E07C70" w14:textId="77777777" w:rsidR="00085509" w:rsidRPr="004A74C2" w:rsidRDefault="00085509" w:rsidP="00085509">
      <w:pPr>
        <w:spacing w:after="0"/>
        <w:jc w:val="both"/>
        <w:rPr>
          <w:rFonts w:ascii="Arial" w:hAnsi="Arial"/>
          <w:b/>
          <w:u w:val="single"/>
        </w:rPr>
      </w:pPr>
    </w:p>
    <w:p w14:paraId="5F12A2FC" w14:textId="77777777" w:rsidR="00085509" w:rsidRPr="004A74C2" w:rsidRDefault="00085509" w:rsidP="00085509">
      <w:pPr>
        <w:spacing w:after="0"/>
        <w:jc w:val="both"/>
        <w:rPr>
          <w:rFonts w:ascii="Arial" w:hAnsi="Arial"/>
          <w:b/>
          <w:u w:val="single"/>
        </w:rPr>
      </w:pPr>
      <w:r w:rsidRPr="004A74C2">
        <w:rPr>
          <w:rFonts w:ascii="Arial" w:hAnsi="Arial"/>
          <w:b/>
          <w:u w:val="single"/>
        </w:rPr>
        <w:t xml:space="preserve">Virtual meetings of directors are permitted </w:t>
      </w:r>
    </w:p>
    <w:p w14:paraId="690396A1" w14:textId="77777777" w:rsidR="00085509" w:rsidRPr="004A74C2" w:rsidRDefault="00085509" w:rsidP="00085509">
      <w:pPr>
        <w:pStyle w:val="ListParagraph"/>
        <w:numPr>
          <w:ilvl w:val="0"/>
          <w:numId w:val="10"/>
        </w:numPr>
        <w:spacing w:after="0"/>
        <w:jc w:val="both"/>
        <w:rPr>
          <w:rFonts w:ascii="Arial" w:eastAsia="Calibri" w:hAnsi="Arial" w:cs="Arial"/>
          <w:bCs/>
          <w:sz w:val="24"/>
          <w:szCs w:val="24"/>
          <w:lang w:val="en-US"/>
        </w:rPr>
      </w:pPr>
      <w:r w:rsidRPr="004A74C2">
        <w:rPr>
          <w:rFonts w:ascii="Arial" w:eastAsia="Calibri" w:hAnsi="Arial" w:cs="Arial"/>
          <w:bCs/>
          <w:sz w:val="24"/>
          <w:szCs w:val="24"/>
          <w:lang w:val="en-US"/>
        </w:rPr>
        <w:t xml:space="preserve">Meetings of boards of directors held online are valid. Directors do not need to be in the same room for board resolutions to be passed. </w:t>
      </w:r>
    </w:p>
    <w:p w14:paraId="7BE22FA8" w14:textId="17293F48" w:rsidR="00877EFE" w:rsidRDefault="00085509">
      <w:r>
        <w:rPr>
          <w:noProof/>
        </w:rPr>
        <w:drawing>
          <wp:inline distT="0" distB="0" distL="0" distR="0" wp14:anchorId="246D7A09" wp14:editId="1B62E381">
            <wp:extent cx="5943600" cy="2400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43600" cy="2400935"/>
                    </a:xfrm>
                    <a:prstGeom prst="rect">
                      <a:avLst/>
                    </a:prstGeom>
                  </pic:spPr>
                </pic:pic>
              </a:graphicData>
            </a:graphic>
          </wp:inline>
        </w:drawing>
      </w:r>
    </w:p>
    <w:sectPr w:rsidR="00877E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0ED"/>
    <w:multiLevelType w:val="hybridMultilevel"/>
    <w:tmpl w:val="7DAA53E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99655E"/>
    <w:multiLevelType w:val="hybridMultilevel"/>
    <w:tmpl w:val="3CCA8CB2"/>
    <w:lvl w:ilvl="0" w:tplc="08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15494D6C"/>
    <w:multiLevelType w:val="hybridMultilevel"/>
    <w:tmpl w:val="D82A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B2924"/>
    <w:multiLevelType w:val="hybridMultilevel"/>
    <w:tmpl w:val="EFBC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864C6"/>
    <w:multiLevelType w:val="hybridMultilevel"/>
    <w:tmpl w:val="5028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777A9"/>
    <w:multiLevelType w:val="hybridMultilevel"/>
    <w:tmpl w:val="02A0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D5022"/>
    <w:multiLevelType w:val="hybridMultilevel"/>
    <w:tmpl w:val="D97857E6"/>
    <w:lvl w:ilvl="0" w:tplc="08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692B601B"/>
    <w:multiLevelType w:val="hybridMultilevel"/>
    <w:tmpl w:val="5F54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702224"/>
    <w:multiLevelType w:val="hybridMultilevel"/>
    <w:tmpl w:val="027A7790"/>
    <w:lvl w:ilvl="0" w:tplc="08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6F4F0671"/>
    <w:multiLevelType w:val="hybridMultilevel"/>
    <w:tmpl w:val="4CC8FE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9"/>
  </w:num>
  <w:num w:numId="6">
    <w:abstractNumId w:val="2"/>
  </w:num>
  <w:num w:numId="7">
    <w:abstractNumId w:val="5"/>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09"/>
    <w:rsid w:val="00026B99"/>
    <w:rsid w:val="00085509"/>
    <w:rsid w:val="00877EFE"/>
    <w:rsid w:val="00B0076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ecimalSymbol w:val="."/>
  <w:listSeparator w:val=","/>
  <w14:docId w14:val="757EA905"/>
  <w15:chartTrackingRefBased/>
  <w15:docId w15:val="{0F3C3A30-BC69-B64C-AB08-6006EE22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W"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509"/>
    <w:pPr>
      <w:spacing w:after="160" w:line="259" w:lineRule="auto"/>
    </w:pPr>
    <w:rPr>
      <w:rFonts w:ascii="Book Antiqua" w:hAnsi="Book Antiqua" w:cs="Arial"/>
      <w:color w:val="4A4A4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09"/>
    <w:pPr>
      <w:ind w:left="720"/>
      <w:contextualSpacing/>
    </w:pPr>
    <w:rPr>
      <w:rFonts w:asciiTheme="minorHAnsi" w:hAnsiTheme="minorHAnsi" w:cstheme="minorBidi"/>
      <w:color w:val="auto"/>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2024-07-18T19:29:00Z</dcterms:created>
  <dcterms:modified xsi:type="dcterms:W3CDTF">2024-07-18T19:34:00Z</dcterms:modified>
</cp:coreProperties>
</file>